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721AE6">
              <w:rPr>
                <w:rFonts w:eastAsia="Times New Roman"/>
                <w:sz w:val="18"/>
                <w:szCs w:val="18"/>
                <w:lang w:eastAsia="hu-HU"/>
              </w:rPr>
              <w:t xml:space="preserve"> MTA Támogatott Kutatócsoportok Irodája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721AE6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721AE6">
              <w:rPr>
                <w:rFonts w:eastAsia="Times New Roman"/>
                <w:sz w:val="18"/>
                <w:szCs w:val="18"/>
                <w:lang w:eastAsia="hu-HU"/>
              </w:rPr>
              <w:t xml:space="preserve"> Nádor u. 7.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721AE6">
              <w:rPr>
                <w:rFonts w:eastAsia="Times New Roman"/>
                <w:sz w:val="18"/>
                <w:szCs w:val="18"/>
                <w:lang w:eastAsia="hu-HU"/>
              </w:rPr>
              <w:t xml:space="preserve"> Budapest</w:t>
            </w:r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721AE6">
              <w:rPr>
                <w:rFonts w:eastAsia="Times New Roman"/>
                <w:sz w:val="18"/>
                <w:szCs w:val="18"/>
                <w:lang w:eastAsia="hu-HU"/>
              </w:rPr>
              <w:t xml:space="preserve"> 1051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721AE6">
              <w:rPr>
                <w:rFonts w:eastAsia="Times New Roman"/>
                <w:sz w:val="18"/>
                <w:szCs w:val="18"/>
                <w:lang w:eastAsia="hu-HU"/>
              </w:rPr>
              <w:t xml:space="preserve"> Magyarország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17A27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17A27">
              <w:rPr>
                <w:rFonts w:eastAsia="Times New Roman"/>
                <w:b/>
                <w:sz w:val="18"/>
                <w:szCs w:val="18"/>
                <w:lang w:eastAsia="hu-HU"/>
              </w:rPr>
              <w:t>X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köztestületi költségvetési szerv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117A27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17A27">
              <w:rPr>
                <w:rFonts w:eastAsia="Times New Roman"/>
                <w:b/>
                <w:sz w:val="18"/>
                <w:szCs w:val="18"/>
                <w:lang w:eastAsia="hu-HU"/>
              </w:rPr>
              <w:t>X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kutatás, fejlesztési tevékenység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067541" w:rsidP="0006754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067541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X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r w:rsidR="003C0609">
              <w:rPr>
                <w:rFonts w:eastAsia="Times New Roman"/>
                <w:sz w:val="18"/>
                <w:szCs w:val="18"/>
                <w:lang w:eastAsia="hu-HU"/>
              </w:rPr>
              <w:t>12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3C0609">
              <w:rPr>
                <w:rFonts w:eastAsia="Times New Roman"/>
                <w:sz w:val="18"/>
                <w:szCs w:val="18"/>
                <w:lang w:eastAsia="hu-HU"/>
              </w:rPr>
              <w:t>203 806 071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Ft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717EF8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r w:rsidR="00717EF8">
              <w:rPr>
                <w:rFonts w:eastAsia="Times New Roman"/>
                <w:sz w:val="18"/>
                <w:szCs w:val="18"/>
                <w:lang w:eastAsia="hu-HU"/>
              </w:rPr>
              <w:t>9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717EF8">
              <w:rPr>
                <w:rFonts w:eastAsia="Times New Roman"/>
                <w:sz w:val="18"/>
                <w:szCs w:val="18"/>
                <w:lang w:eastAsia="hu-HU"/>
              </w:rPr>
              <w:t>129 413 042 Ft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067541" w:rsidRDefault="00067541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067541" w:rsidRPr="00190A32" w:rsidRDefault="00067541" w:rsidP="0006754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E45281">
              <w:rPr>
                <w:rFonts w:eastAsia="Times New Roman"/>
                <w:sz w:val="18"/>
                <w:szCs w:val="18"/>
                <w:lang w:eastAsia="hu-HU"/>
              </w:rPr>
              <w:t>33</w:t>
            </w:r>
            <w:proofErr w:type="gramEnd"/>
            <w:r w:rsidR="00E45281">
              <w:rPr>
                <w:rFonts w:eastAsia="Times New Roman"/>
                <w:sz w:val="18"/>
                <w:szCs w:val="18"/>
                <w:lang w:eastAsia="hu-HU"/>
              </w:rPr>
              <w:t>.12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 w:rsidR="00E45281">
              <w:rPr>
                <w:rFonts w:eastAsia="Times New Roman"/>
                <w:sz w:val="18"/>
                <w:szCs w:val="18"/>
                <w:lang w:eastAsia="hu-HU"/>
              </w:rPr>
              <w:t>11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 w:rsidR="00E45281">
              <w:rPr>
                <w:rFonts w:eastAsia="Times New Roman"/>
                <w:sz w:val="18"/>
                <w:szCs w:val="18"/>
                <w:lang w:eastAsia="hu-HU"/>
              </w:rPr>
              <w:t>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- </w:t>
            </w:r>
            <w:r w:rsidR="00E45281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/ Száma: </w:t>
            </w:r>
            <w:r w:rsidR="00E45281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E45281">
              <w:rPr>
                <w:rFonts w:eastAsia="Times New Roman"/>
                <w:sz w:val="18"/>
                <w:szCs w:val="18"/>
                <w:lang w:eastAsia="hu-HU"/>
              </w:rPr>
              <w:t>16 472 637 Ft</w:t>
            </w:r>
          </w:p>
          <w:p w:rsidR="00E45281" w:rsidRDefault="00E45281" w:rsidP="00E45281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38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.00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-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/ Száma: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16 236 398 Ft</w:t>
            </w:r>
          </w:p>
          <w:p w:rsidR="00E45281" w:rsidRDefault="00E45281" w:rsidP="00E45281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33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 w:rsidR="00067541">
              <w:rPr>
                <w:rFonts w:eastAsia="Times New Roman"/>
                <w:sz w:val="18"/>
                <w:szCs w:val="18"/>
                <w:lang w:eastAsia="hu-HU"/>
              </w:rPr>
              <w:t>12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 w:rsidR="00067541">
              <w:rPr>
                <w:rFonts w:eastAsia="Times New Roman"/>
                <w:sz w:val="18"/>
                <w:szCs w:val="18"/>
                <w:lang w:eastAsia="hu-HU"/>
              </w:rPr>
              <w:t>13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- </w:t>
            </w:r>
            <w:r w:rsidR="00067541">
              <w:rPr>
                <w:rFonts w:eastAsia="Times New Roman"/>
                <w:sz w:val="18"/>
                <w:szCs w:val="18"/>
                <w:lang w:eastAsia="hu-HU"/>
              </w:rPr>
              <w:t>7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/ Száma: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067541">
              <w:rPr>
                <w:rFonts w:eastAsia="Times New Roman"/>
                <w:sz w:val="18"/>
                <w:szCs w:val="18"/>
                <w:lang w:eastAsia="hu-HU"/>
              </w:rPr>
              <w:t>9 500 000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Ft</w:t>
            </w:r>
          </w:p>
          <w:p w:rsidR="00067541" w:rsidRDefault="00067541" w:rsidP="00067541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43.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32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70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-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/ Száma: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20 960 855 Ft</w:t>
            </w:r>
          </w:p>
          <w:p w:rsidR="00067541" w:rsidRDefault="00067541" w:rsidP="00067541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38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.63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61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-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/ Száma: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22 330 000 Ft</w:t>
            </w:r>
          </w:p>
          <w:p w:rsidR="00067541" w:rsidRDefault="00067541" w:rsidP="00067541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38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.43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-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/ Száma: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31 254 402 Ft</w:t>
            </w:r>
          </w:p>
          <w:p w:rsidR="00067541" w:rsidRDefault="00067541" w:rsidP="00067541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33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.12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41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-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/ Száma: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2 230 000 Ft</w:t>
            </w:r>
          </w:p>
          <w:p w:rsidR="00067541" w:rsidRDefault="00067541" w:rsidP="00067541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38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.43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-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/ Száma: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10 428 750 Ft</w:t>
            </w:r>
          </w:p>
          <w:p w:rsidR="003C0609" w:rsidRDefault="003C0609" w:rsidP="003C0609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38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.43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-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9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/ Száma: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22 352 448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Ft</w:t>
            </w:r>
          </w:p>
          <w:p w:rsidR="003C0609" w:rsidRDefault="003C0609" w:rsidP="003C0609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38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51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-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/ Száma: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3 244 073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Ft</w:t>
            </w:r>
          </w:p>
          <w:p w:rsidR="003C0609" w:rsidRDefault="003C0609" w:rsidP="003C0609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38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-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8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/ Száma: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8 796 508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Ft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értékhatás alatti,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III.1.5.3)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III.2)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alatti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Keretmegállapodások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IV.1.9)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3C0609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r w:rsidR="003C0609">
              <w:rPr>
                <w:rFonts w:eastAsia="Times New Roman"/>
                <w:sz w:val="18"/>
                <w:szCs w:val="18"/>
                <w:lang w:eastAsia="hu-HU"/>
              </w:rPr>
              <w:t>12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3C0609">
              <w:rPr>
                <w:rFonts w:eastAsia="Times New Roman"/>
                <w:sz w:val="18"/>
                <w:szCs w:val="18"/>
                <w:lang w:eastAsia="hu-HU"/>
              </w:rPr>
              <w:t>203 806 071</w:t>
            </w:r>
            <w:r w:rsidR="007D6869">
              <w:rPr>
                <w:rFonts w:eastAsia="Times New Roman"/>
                <w:sz w:val="18"/>
                <w:szCs w:val="18"/>
                <w:lang w:eastAsia="hu-HU"/>
              </w:rPr>
              <w:t xml:space="preserve"> Ft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IV.1.10)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Pr="00190A32">
        <w:rPr>
          <w:rFonts w:eastAsia="Times New Roman"/>
          <w:i/>
          <w:iCs/>
          <w:lang w:eastAsia="hu-HU"/>
        </w:rPr>
        <w:t>(</w:t>
      </w:r>
      <w:r w:rsidR="003C0609">
        <w:rPr>
          <w:rFonts w:eastAsia="Times New Roman"/>
          <w:i/>
          <w:iCs/>
          <w:lang w:eastAsia="hu-HU"/>
        </w:rPr>
        <w:t>2016</w:t>
      </w:r>
      <w:r w:rsidRPr="00190A32">
        <w:rPr>
          <w:rFonts w:eastAsia="Times New Roman"/>
          <w:i/>
          <w:iCs/>
          <w:lang w:eastAsia="hu-HU"/>
        </w:rPr>
        <w:t>/</w:t>
      </w:r>
      <w:r w:rsidR="003C0609">
        <w:rPr>
          <w:rFonts w:eastAsia="Times New Roman"/>
          <w:i/>
          <w:iCs/>
          <w:lang w:eastAsia="hu-HU"/>
        </w:rPr>
        <w:t>05</w:t>
      </w:r>
      <w:r w:rsidRPr="00190A32">
        <w:rPr>
          <w:rFonts w:eastAsia="Times New Roman"/>
          <w:i/>
          <w:iCs/>
          <w:lang w:eastAsia="hu-HU"/>
        </w:rPr>
        <w:t>/</w:t>
      </w:r>
      <w:r w:rsidR="003C0609">
        <w:rPr>
          <w:rFonts w:eastAsia="Times New Roman"/>
          <w:i/>
          <w:iCs/>
          <w:lang w:eastAsia="hu-HU"/>
        </w:rPr>
        <w:t>13</w:t>
      </w:r>
      <w:bookmarkStart w:id="0" w:name="_GoBack"/>
      <w:bookmarkEnd w:id="0"/>
      <w:r w:rsidRPr="00190A32">
        <w:rPr>
          <w:rFonts w:eastAsia="Times New Roman"/>
          <w:i/>
          <w:iCs/>
          <w:lang w:eastAsia="hu-HU"/>
        </w:rPr>
        <w:t>)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32"/>
    <w:rsid w:val="00002831"/>
    <w:rsid w:val="00006CF1"/>
    <w:rsid w:val="00034806"/>
    <w:rsid w:val="00040A6D"/>
    <w:rsid w:val="00067541"/>
    <w:rsid w:val="000778ED"/>
    <w:rsid w:val="00081365"/>
    <w:rsid w:val="000B7E8B"/>
    <w:rsid w:val="000C757F"/>
    <w:rsid w:val="000D50BD"/>
    <w:rsid w:val="000E462F"/>
    <w:rsid w:val="000F6D29"/>
    <w:rsid w:val="00117A27"/>
    <w:rsid w:val="0012491E"/>
    <w:rsid w:val="00173713"/>
    <w:rsid w:val="0018117E"/>
    <w:rsid w:val="001840EA"/>
    <w:rsid w:val="00190A32"/>
    <w:rsid w:val="001977C3"/>
    <w:rsid w:val="002670BE"/>
    <w:rsid w:val="002C2A0C"/>
    <w:rsid w:val="002D0689"/>
    <w:rsid w:val="00336A1A"/>
    <w:rsid w:val="00384EC1"/>
    <w:rsid w:val="003C0609"/>
    <w:rsid w:val="00402483"/>
    <w:rsid w:val="00427DB0"/>
    <w:rsid w:val="004A7664"/>
    <w:rsid w:val="004B071F"/>
    <w:rsid w:val="004C642A"/>
    <w:rsid w:val="00506BAF"/>
    <w:rsid w:val="00520044"/>
    <w:rsid w:val="00630419"/>
    <w:rsid w:val="006512C7"/>
    <w:rsid w:val="006810A5"/>
    <w:rsid w:val="006F548E"/>
    <w:rsid w:val="00717EF8"/>
    <w:rsid w:val="00721AE6"/>
    <w:rsid w:val="00737F99"/>
    <w:rsid w:val="007C3BEC"/>
    <w:rsid w:val="007C6EE7"/>
    <w:rsid w:val="007D6869"/>
    <w:rsid w:val="00806BF8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F0B81"/>
    <w:rsid w:val="00C11EEB"/>
    <w:rsid w:val="00CD4DBD"/>
    <w:rsid w:val="00D33991"/>
    <w:rsid w:val="00D9687F"/>
    <w:rsid w:val="00E43CD6"/>
    <w:rsid w:val="00E45281"/>
    <w:rsid w:val="00E76054"/>
    <w:rsid w:val="00E856FD"/>
    <w:rsid w:val="00EB35D1"/>
    <w:rsid w:val="00EE3111"/>
    <w:rsid w:val="00F559BB"/>
    <w:rsid w:val="00F64EB3"/>
    <w:rsid w:val="00F91098"/>
    <w:rsid w:val="00F97457"/>
    <w:rsid w:val="00FC5FD6"/>
    <w:rsid w:val="00FE1305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3507</Words>
  <Characters>24206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Berzéné Pénzes Ilona</cp:lastModifiedBy>
  <cp:revision>2</cp:revision>
  <dcterms:created xsi:type="dcterms:W3CDTF">2016-05-12T13:23:00Z</dcterms:created>
  <dcterms:modified xsi:type="dcterms:W3CDTF">2016-05-12T13:23:00Z</dcterms:modified>
</cp:coreProperties>
</file>